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02A9A5A" w:rsidR="00FA0A2C" w:rsidRDefault="00AE26CE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</w:t>
      </w:r>
      <w:bookmarkStart w:id="0" w:name="_GoBack"/>
      <w:bookmarkEnd w:id="0"/>
      <w:r w:rsidR="00FA0A2C" w:rsidRPr="00FA0A2C">
        <w:rPr>
          <w:rFonts w:ascii="Arial" w:hAnsi="Arial" w:cs="Arial"/>
          <w:b/>
          <w:bCs/>
          <w:color w:val="000000"/>
          <w:sz w:val="28"/>
          <w:szCs w:val="28"/>
        </w:rPr>
        <w:t>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</w:tblGrid>
      <w:tr w:rsidR="00780D45" w:rsidRPr="00FA0A2C" w14:paraId="2E8AA939" w14:textId="77777777" w:rsidTr="00780D45">
        <w:trPr>
          <w:trHeight w:val="93"/>
        </w:trPr>
        <w:tc>
          <w:tcPr>
            <w:tcW w:w="817" w:type="dxa"/>
          </w:tcPr>
          <w:p w14:paraId="3A3710AC" w14:textId="77777777" w:rsidR="00780D45" w:rsidRPr="00FA0A2C" w:rsidRDefault="00780D45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</w:tr>
      <w:tr w:rsidR="00780D45" w:rsidRPr="00FA0A2C" w14:paraId="69A1C152" w14:textId="77777777" w:rsidTr="00780D45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780D45" w:rsidRPr="00FA0A2C" w:rsidRDefault="00780D45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APC(ACF)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</w:t>
            </w: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DofE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B1A2" w14:textId="42852A72" w:rsidR="009D0622" w:rsidRPr="006205B7" w:rsidRDefault="00F650C6" w:rsidP="006205B7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</w:t>
    </w:r>
    <w:r w:rsidR="00780D45">
      <w:rPr>
        <w:rFonts w:ascii="Arial" w:hAnsi="Arial" w:cs="Arial"/>
        <w:i/>
        <w:sz w:val="20"/>
        <w:szCs w:val="20"/>
      </w:rPr>
      <w:t>2.18</w:t>
    </w:r>
    <w:r w:rsidRPr="00F650C6">
      <w:rPr>
        <w:rFonts w:ascii="Arial" w:hAnsi="Arial" w:cs="Arial"/>
        <w:i/>
        <w:sz w:val="20"/>
        <w:szCs w:val="20"/>
      </w:rPr>
      <w:t xml:space="preserve"> Ma</w:t>
    </w:r>
    <w:r w:rsidR="00780D45">
      <w:rPr>
        <w:rFonts w:ascii="Arial" w:hAnsi="Arial" w:cs="Arial"/>
        <w:i/>
        <w:sz w:val="20"/>
        <w:szCs w:val="20"/>
      </w:rPr>
      <w:t>r 20, pp 75-76</w:t>
    </w:r>
    <w:r w:rsidRPr="00F650C6"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205B7"/>
    <w:rsid w:val="0067207D"/>
    <w:rsid w:val="00780D45"/>
    <w:rsid w:val="008C172A"/>
    <w:rsid w:val="009D0622"/>
    <w:rsid w:val="00AE26CE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3689684-2F67-4BAD-A1F1-8BF028F8E99E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8eefa14-5eb9-4862-a691-e6ef2a4c10f4"/>
    <ds:schemaRef ds:uri="http://purl.org/dc/elements/1.1/"/>
    <ds:schemaRef ds:uri="6652dff5-346d-4207-8b0a-5d884a66049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8B358-5E6C-4790-9B47-1EF20B874FD0}"/>
</file>

<file path=customXml/itemProps4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49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5</cp:revision>
  <dcterms:created xsi:type="dcterms:W3CDTF">2016-08-19T08:46:00Z</dcterms:created>
  <dcterms:modified xsi:type="dcterms:W3CDTF">2021-04-21T12:29:00Z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